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649" w:rsidRPr="00451AE1" w:rsidRDefault="00A01649" w:rsidP="00037A7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Katedra</w:t>
      </w:r>
      <w:r w:rsidRPr="00451AE1">
        <w:rPr>
          <w:rFonts w:ascii="Times New Roman" w:hAnsi="Times New Roman"/>
          <w:b/>
          <w:sz w:val="26"/>
          <w:szCs w:val="26"/>
        </w:rPr>
        <w:t xml:space="preserve"> Problemów Bezpieczeństwa Europy Północnej</w:t>
      </w:r>
      <w:r>
        <w:rPr>
          <w:rFonts w:ascii="Times New Roman" w:hAnsi="Times New Roman"/>
          <w:b/>
          <w:sz w:val="26"/>
          <w:szCs w:val="26"/>
        </w:rPr>
        <w:t>,</w:t>
      </w:r>
    </w:p>
    <w:p w:rsidR="00A01649" w:rsidRDefault="00A01649" w:rsidP="00037A7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Środkowej i</w:t>
      </w:r>
      <w:r w:rsidRPr="00451AE1">
        <w:rPr>
          <w:rFonts w:ascii="Times New Roman" w:hAnsi="Times New Roman"/>
          <w:b/>
          <w:sz w:val="26"/>
          <w:szCs w:val="26"/>
        </w:rPr>
        <w:t xml:space="preserve"> Wschodniej</w:t>
      </w:r>
    </w:p>
    <w:p w:rsidR="00A01649" w:rsidRDefault="00A01649" w:rsidP="00B61CE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Katedra stanowi jednostkę organizacyjną w strukturze Wydziału Administracji i Bezpieczeństwa Narodowego Państwowej Wyższej Szkoły Zawodowej im. Jakuba z Paradyża w Gorzowie Wlkp.</w:t>
      </w:r>
    </w:p>
    <w:p w:rsidR="00A01649" w:rsidRDefault="00A01649" w:rsidP="00037A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Jest jednostką naukową, prowadzącą badania naukowe w zakresie określonym w punkcie II, związanym z kierunkiem Bezpieczeństwo Narodowe. W sferze normatywnej opiera się na aktach prawa powszechnie obowiązującego, a także na Statucie Uczelni i Regulaminie Wydziału Administracji i Bezpieczeństwa Narodowego.</w:t>
      </w:r>
    </w:p>
    <w:p w:rsidR="00A01649" w:rsidRDefault="00A01649" w:rsidP="00037A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zakresu problematyki badawczej, Katedra może być organizatorem albo współorganizatorem konferencji, seminariów, sympozjów, wykładów otwartych, paneli dyskusyjnych i innych form współpracy naukowej w ramach Wydziału, z innymi wydziałami i jednostkami organizacyjnymi Uczelni, innych uczelni, instytutami naukowo-badawczymi, organami administracji rządowej i samorządowej, przedsiębiorstwami i instytucjami otoczenia biznesu, innymi organizacjami pozarządowymi itp., służących rozwojowi naukowemu jego pracowników.</w:t>
      </w:r>
    </w:p>
    <w:p w:rsidR="00A01649" w:rsidRPr="00037A74" w:rsidRDefault="00A01649" w:rsidP="00037A74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Katedra zamieszcza informacje o przedsięwzięciach naukowych oraz na rzecz popularyzacji nauki na stronach internetowych Wydziału. Wyniki badań naukowych nauczycieli akademickich związanych z Katedrą są publikowane w wydawnictwach Wydziału ogólnouczelnianych, jak i pozauczelnianych, w tym zagranicznych.</w:t>
      </w:r>
    </w:p>
    <w:p w:rsidR="00A01649" w:rsidRDefault="00A01649" w:rsidP="00B61CE0">
      <w:pPr>
        <w:pStyle w:val="ListParagraph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Problematyka badań realizowanych w ramach Katedry obejmuje zagadnienia niżej wymienione:</w:t>
      </w:r>
    </w:p>
    <w:p w:rsidR="00A01649" w:rsidRDefault="00A01649" w:rsidP="00B61CE0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Aktualność ustaleń Sztokholmskiej Konferencji KBWE na temat środków budowy zaufania w 1986 r., w nowej zmienionej euroatlantycko-azjatyckiej architekturze bezpieczeństwa – między NATO a ODKB i starymi oraz nowymi państwami neutralnymi i bezaliansowymi</w:t>
      </w:r>
    </w:p>
    <w:p w:rsidR="00A01649" w:rsidRPr="00D77227" w:rsidRDefault="00A01649" w:rsidP="00D77227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Różne wymiary bezpieczeństwa w dokumentach oraz działalności instytucji KBWE/OBWE</w:t>
      </w:r>
    </w:p>
    <w:p w:rsidR="00A01649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 kulturowe na obszarze Europy Północnej, Środkowej i Wschodniej</w:t>
      </w:r>
    </w:p>
    <w:p w:rsidR="00A01649" w:rsidRPr="00451AE1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Bezpieczeństwo energetyczne Polski, w tym znaczenie terminalu LNG w Świnoujściu</w:t>
      </w:r>
    </w:p>
    <w:p w:rsidR="00A01649" w:rsidRDefault="00A01649" w:rsidP="00B61CE0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Wymiar Północny i Wymiar Wschodni Unii Europejskiej</w:t>
      </w:r>
    </w:p>
    <w:p w:rsidR="00A01649" w:rsidRPr="00451AE1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Status prawny Wysp Alandzkich i p</w:t>
      </w:r>
      <w:r w:rsidRPr="00451AE1">
        <w:rPr>
          <w:rFonts w:ascii="Times New Roman" w:hAnsi="Times New Roman"/>
          <w:sz w:val="24"/>
          <w:szCs w:val="24"/>
        </w:rPr>
        <w:t>erspektywy nowego statu</w:t>
      </w:r>
      <w:r>
        <w:rPr>
          <w:rFonts w:ascii="Times New Roman" w:hAnsi="Times New Roman"/>
          <w:sz w:val="24"/>
          <w:szCs w:val="24"/>
        </w:rPr>
        <w:t>su prawnomiędzynarodowego Wysp O</w:t>
      </w:r>
      <w:r w:rsidRPr="00451AE1">
        <w:rPr>
          <w:rFonts w:ascii="Times New Roman" w:hAnsi="Times New Roman"/>
          <w:sz w:val="24"/>
          <w:szCs w:val="24"/>
        </w:rPr>
        <w:t>wczych</w:t>
      </w:r>
    </w:p>
    <w:p w:rsidR="00A01649" w:rsidRPr="00451AE1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Ewolucja polityki neutralności Szwecji i Finlandii</w:t>
      </w:r>
    </w:p>
    <w:p w:rsidR="00A01649" w:rsidRDefault="00A01649" w:rsidP="00BE20F6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Działalność Rady Arktycznej, Rady Nordyckiej, Rady Państw Morza Bałtyckiego i Rady Bałtyckiej w kontekście różnych wymiarów bezpieczeństwa</w:t>
      </w:r>
    </w:p>
    <w:p w:rsidR="00A01649" w:rsidRPr="00BE20F6" w:rsidRDefault="00A01649" w:rsidP="00BE20F6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Czesko-słowacka (1989-1992) i czeska (od 1.1.1993 r.) polityka zagraniczna i bezpieczeństwa: elementy ciągłości, zmiany, wyzwań przyszłości oraz waga wektora wyszehradzkiego</w:t>
      </w:r>
    </w:p>
    <w:p w:rsidR="00A01649" w:rsidRDefault="00A01649" w:rsidP="00770146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Polityka zagraniczna i bezpieczeństwa Litwy, Łotwy i Estonii</w:t>
      </w:r>
    </w:p>
    <w:p w:rsidR="00A01649" w:rsidRDefault="00A01649" w:rsidP="00770146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Znaczenie Obwodu Kaliningradzkiego FR dla przyszłych stosunków Rosji, Litwy, Polski i Niemiec</w:t>
      </w:r>
    </w:p>
    <w:p w:rsidR="00A01649" w:rsidRPr="00451AE1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Polityka zagraniczna i bezpieczeństwa Rosji, Białorusi i Ukrainy (</w:t>
      </w:r>
      <w:r w:rsidRPr="00451AE1">
        <w:rPr>
          <w:rFonts w:ascii="Times New Roman" w:hAnsi="Times New Roman"/>
          <w:sz w:val="24"/>
          <w:szCs w:val="24"/>
        </w:rPr>
        <w:t>z uwzględnieniem różnic w percepcji priorytetów w jej części zachodnio-centralnej i południowo-wschodniej</w:t>
      </w:r>
      <w:r>
        <w:rPr>
          <w:rFonts w:ascii="Times New Roman" w:hAnsi="Times New Roman"/>
          <w:sz w:val="24"/>
          <w:szCs w:val="24"/>
        </w:rPr>
        <w:t>) i Mołdawii</w:t>
      </w:r>
    </w:p>
    <w:p w:rsidR="00A01649" w:rsidRPr="00451AE1" w:rsidRDefault="00A01649" w:rsidP="00451AE1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451AE1">
        <w:rPr>
          <w:rFonts w:ascii="Times New Roman" w:hAnsi="Times New Roman"/>
          <w:sz w:val="24"/>
          <w:szCs w:val="24"/>
        </w:rPr>
        <w:t xml:space="preserve">Możliwości rozszerzenia formuły „strategicznego partnerstwa” </w:t>
      </w:r>
      <w:r>
        <w:rPr>
          <w:rFonts w:ascii="Times New Roman" w:hAnsi="Times New Roman"/>
          <w:sz w:val="24"/>
          <w:szCs w:val="24"/>
        </w:rPr>
        <w:t xml:space="preserve">z UE </w:t>
      </w:r>
      <w:r w:rsidRPr="00451AE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/albo</w:t>
      </w:r>
      <w:r w:rsidRPr="00451AE1">
        <w:rPr>
          <w:rFonts w:ascii="Times New Roman" w:hAnsi="Times New Roman"/>
          <w:sz w:val="24"/>
          <w:szCs w:val="24"/>
        </w:rPr>
        <w:t xml:space="preserve"> Europejskiego Obszaru Gospodarczego na zainteresowane państwa Partnerstwa Wschodn</w:t>
      </w:r>
      <w:r>
        <w:rPr>
          <w:rFonts w:ascii="Times New Roman" w:hAnsi="Times New Roman"/>
          <w:sz w:val="24"/>
          <w:szCs w:val="24"/>
        </w:rPr>
        <w:t>iego dążące do integracji europejskiej</w:t>
      </w:r>
    </w:p>
    <w:p w:rsidR="00A01649" w:rsidRDefault="00A01649" w:rsidP="00BE20F6">
      <w:pPr>
        <w:pStyle w:val="ListParagraph"/>
        <w:numPr>
          <w:ilvl w:val="0"/>
          <w:numId w:val="2"/>
        </w:numPr>
        <w:spacing w:after="0" w:line="36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E20F6">
        <w:rPr>
          <w:rFonts w:ascii="Times New Roman" w:hAnsi="Times New Roman"/>
          <w:sz w:val="24"/>
          <w:szCs w:val="24"/>
        </w:rPr>
        <w:t xml:space="preserve">Scenariusze przyszłości projektów integracyjnych w przestrzeni postradzieckiej: </w:t>
      </w:r>
      <w:r>
        <w:rPr>
          <w:rFonts w:ascii="Times New Roman" w:hAnsi="Times New Roman"/>
          <w:sz w:val="24"/>
          <w:szCs w:val="24"/>
        </w:rPr>
        <w:t>Wspólnoty Niepodległych Państw</w:t>
      </w:r>
      <w:r w:rsidRPr="00BE20F6">
        <w:rPr>
          <w:rFonts w:ascii="Times New Roman" w:hAnsi="Times New Roman"/>
          <w:sz w:val="24"/>
          <w:szCs w:val="24"/>
        </w:rPr>
        <w:t xml:space="preserve">, Wspólnej Przestrzeni Gospodarczej/Unii Celnej </w:t>
      </w:r>
      <w:r>
        <w:rPr>
          <w:rFonts w:ascii="Times New Roman" w:hAnsi="Times New Roman"/>
          <w:sz w:val="24"/>
          <w:szCs w:val="24"/>
        </w:rPr>
        <w:t xml:space="preserve">oraz projektu </w:t>
      </w:r>
      <w:r w:rsidRPr="00BE20F6">
        <w:rPr>
          <w:rFonts w:ascii="Times New Roman" w:hAnsi="Times New Roman"/>
          <w:sz w:val="24"/>
          <w:szCs w:val="24"/>
        </w:rPr>
        <w:t>Unii Euroazjatyckiej</w:t>
      </w:r>
      <w:r>
        <w:rPr>
          <w:rFonts w:ascii="Times New Roman" w:hAnsi="Times New Roman"/>
          <w:sz w:val="24"/>
          <w:szCs w:val="24"/>
        </w:rPr>
        <w:t>, także w kontekście konfliktu na Krymie.</w:t>
      </w:r>
    </w:p>
    <w:p w:rsidR="00A01649" w:rsidRPr="00BE20F6" w:rsidRDefault="00A01649" w:rsidP="00BE20F6">
      <w:pPr>
        <w:pStyle w:val="ListParagraph"/>
        <w:spacing w:after="0" w:line="36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A01649" w:rsidRPr="00BE20F6" w:rsidRDefault="00A01649" w:rsidP="00BE20F6">
      <w:pPr>
        <w:pStyle w:val="ListParagraph"/>
        <w:spacing w:after="0" w:line="360" w:lineRule="auto"/>
        <w:ind w:left="28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Skład personalny Katedry:</w:t>
      </w:r>
    </w:p>
    <w:p w:rsidR="00A01649" w:rsidRPr="00BE20F6" w:rsidRDefault="00A01649" w:rsidP="00BE20F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Kierownik: dr hab., prof. PWSZ Paweł A. Leszczyński</w:t>
      </w:r>
    </w:p>
    <w:p w:rsidR="00A01649" w:rsidRDefault="00A01649" w:rsidP="00BE20F6">
      <w:pPr>
        <w:spacing w:after="0"/>
        <w:ind w:left="2832" w:firstLine="360"/>
        <w:rPr>
          <w:rFonts w:ascii="Times New Roman" w:hAnsi="Times New Roman"/>
          <w:sz w:val="24"/>
          <w:szCs w:val="24"/>
        </w:rPr>
      </w:pPr>
      <w:r w:rsidRPr="00F95D20">
        <w:rPr>
          <w:rFonts w:ascii="Times New Roman" w:hAnsi="Times New Roman"/>
          <w:sz w:val="24"/>
          <w:szCs w:val="24"/>
        </w:rPr>
        <w:t>Wydział Administracji Bezpieczeństwa Narodowego</w:t>
      </w:r>
    </w:p>
    <w:p w:rsidR="00A01649" w:rsidRDefault="00A01649" w:rsidP="00BE20F6">
      <w:pPr>
        <w:spacing w:after="0"/>
        <w:ind w:left="24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Państwowej Wyższej Szkoły Zawodowej im. Jakuba </w:t>
      </w:r>
    </w:p>
    <w:p w:rsidR="00A01649" w:rsidRDefault="00A01649" w:rsidP="00BE20F6">
      <w:pPr>
        <w:spacing w:after="0"/>
        <w:ind w:left="2484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Paradyża w Gorzowie Wlkp.</w:t>
      </w:r>
    </w:p>
    <w:p w:rsidR="00A01649" w:rsidRDefault="00A01649" w:rsidP="00BE20F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Anna Chabasińska – Wydział Ekonomiczny Państwowej Wyższej Szkoły Zawodowej im. Jakuba z Paradyża w Gorzowie Wlkp.</w:t>
      </w:r>
    </w:p>
    <w:p w:rsidR="00A01649" w:rsidRDefault="00A01649" w:rsidP="00BE20F6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 Tomasz Marcinkowski – Wydział Ekonomiczny Państwowej Wyższej Szkoły Zawodowej im. Jakuba z Paradyża w Gorzowie Wlkp.</w:t>
      </w:r>
    </w:p>
    <w:p w:rsidR="00A01649" w:rsidRPr="00BE20F6" w:rsidRDefault="00A01649" w:rsidP="00BE20F6">
      <w:pPr>
        <w:spacing w:after="0"/>
        <w:ind w:left="2832"/>
        <w:rPr>
          <w:rFonts w:ascii="Times New Roman" w:hAnsi="Times New Roman"/>
          <w:sz w:val="24"/>
          <w:szCs w:val="24"/>
        </w:rPr>
      </w:pPr>
    </w:p>
    <w:p w:rsidR="00A01649" w:rsidRDefault="00A01649" w:rsidP="00EB7B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ramach projektowanej Katedry, swoje badania naukowe mogą prowadzić także inni zainteresowani pracownicy naukowo-dydaktyczni i dydaktyczni Wydziału Administracji i Bezpieczeństwa Narodowego, a także innych wydziałów Uczelni.</w:t>
      </w:r>
    </w:p>
    <w:p w:rsidR="00A01649" w:rsidRDefault="00A01649" w:rsidP="00EB7BE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01649" w:rsidSect="00B25A0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649" w:rsidRDefault="00A01649" w:rsidP="00F95D20">
      <w:pPr>
        <w:spacing w:after="0" w:line="240" w:lineRule="auto"/>
      </w:pPr>
      <w:r>
        <w:separator/>
      </w:r>
    </w:p>
  </w:endnote>
  <w:endnote w:type="continuationSeparator" w:id="0">
    <w:p w:rsidR="00A01649" w:rsidRDefault="00A01649" w:rsidP="00F95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horndale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649" w:rsidRDefault="00A01649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A01649" w:rsidRDefault="00A016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649" w:rsidRDefault="00A01649" w:rsidP="00F95D20">
      <w:pPr>
        <w:spacing w:after="0" w:line="240" w:lineRule="auto"/>
      </w:pPr>
      <w:r>
        <w:separator/>
      </w:r>
    </w:p>
  </w:footnote>
  <w:footnote w:type="continuationSeparator" w:id="0">
    <w:p w:rsidR="00A01649" w:rsidRDefault="00A01649" w:rsidP="00F95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0720D"/>
    <w:multiLevelType w:val="hybridMultilevel"/>
    <w:tmpl w:val="33F24760"/>
    <w:lvl w:ilvl="0" w:tplc="D2F6E8B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EC16751"/>
    <w:multiLevelType w:val="hybridMultilevel"/>
    <w:tmpl w:val="232496AA"/>
    <w:lvl w:ilvl="0" w:tplc="441C3ACE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2">
    <w:nsid w:val="52060804"/>
    <w:multiLevelType w:val="hybridMultilevel"/>
    <w:tmpl w:val="3C6C50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9CC"/>
    <w:rsid w:val="00015837"/>
    <w:rsid w:val="00035E6A"/>
    <w:rsid w:val="00037A74"/>
    <w:rsid w:val="000559CC"/>
    <w:rsid w:val="000B15D0"/>
    <w:rsid w:val="0013182B"/>
    <w:rsid w:val="001509B7"/>
    <w:rsid w:val="003256FB"/>
    <w:rsid w:val="00451AE1"/>
    <w:rsid w:val="00525CA4"/>
    <w:rsid w:val="00533DF0"/>
    <w:rsid w:val="00627BA7"/>
    <w:rsid w:val="006C60A9"/>
    <w:rsid w:val="00770146"/>
    <w:rsid w:val="007A499F"/>
    <w:rsid w:val="0091517E"/>
    <w:rsid w:val="00A01649"/>
    <w:rsid w:val="00B25A08"/>
    <w:rsid w:val="00B61CE0"/>
    <w:rsid w:val="00BE20F6"/>
    <w:rsid w:val="00D77227"/>
    <w:rsid w:val="00EB7A79"/>
    <w:rsid w:val="00EB7BE5"/>
    <w:rsid w:val="00ED6329"/>
    <w:rsid w:val="00F552E2"/>
    <w:rsid w:val="00F92182"/>
    <w:rsid w:val="00F95D20"/>
    <w:rsid w:val="00FA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A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37A7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9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95D2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95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95D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558</Words>
  <Characters>3352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 Problemów Bezpieczeństwa Europy Północnej,</dc:title>
  <dc:subject/>
  <dc:creator>halina</dc:creator>
  <cp:keywords/>
  <dc:description/>
  <cp:lastModifiedBy>SEKRET-IA-2</cp:lastModifiedBy>
  <cp:revision>2</cp:revision>
  <dcterms:created xsi:type="dcterms:W3CDTF">2016-02-18T09:06:00Z</dcterms:created>
  <dcterms:modified xsi:type="dcterms:W3CDTF">2016-02-18T09:06:00Z</dcterms:modified>
</cp:coreProperties>
</file>